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6"/>
        <w:tblW w:w="14482" w:type="dxa"/>
        <w:tblInd w:w="-1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57"/>
        <w:gridCol w:w="1495"/>
        <w:gridCol w:w="850"/>
        <w:gridCol w:w="706"/>
        <w:gridCol w:w="811"/>
        <w:gridCol w:w="766"/>
        <w:gridCol w:w="1400"/>
        <w:gridCol w:w="1413"/>
        <w:gridCol w:w="7"/>
        <w:gridCol w:w="1323"/>
        <w:gridCol w:w="1372"/>
        <w:gridCol w:w="2328"/>
        <w:gridCol w:w="13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6" w:hRule="atLeast"/>
        </w:trPr>
        <w:tc>
          <w:tcPr>
            <w:tcW w:w="14482" w:type="dxa"/>
            <w:gridSpan w:val="13"/>
            <w:tcBorders>
              <w:left w:val="nil"/>
              <w:bottom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>（</w:t>
            </w:r>
            <w:r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  <w:lang w:eastAsia="zh-CN"/>
              </w:rPr>
              <w:t>系部名）</w:t>
            </w:r>
            <w:r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 </w:t>
            </w:r>
            <w:r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  <w:t>第二届安徽省大学生版权征文活动参加高校信息汇总表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2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作者联系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指导教师联系方式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8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（填写本科生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博士生）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（填写常用手机号）</w:t>
            </w: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（不超过2名，如无指导教师则填“无”）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（同左）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（同左）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758" w:right="2098" w:bottom="1644" w:left="1758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kern w:val="2"/>
          <w:sz w:val="44"/>
          <w:szCs w:val="44"/>
        </w:rPr>
        <w:t>安徽省大学生版权征文活动参赛学生承诺书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本人自愿参加安徽省大学生版权征文活动，并以活动参赛学生的身份和荣誉郑重作出如下承诺：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1．尊重活动组委会及秘书处，尊重专家，尊重参赛单位和其他选手，客观、公正地参加活动。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2．遵守道德，遵守活动纪律，不私下接触专家、评委和其他参赛单位的参赛学生及指导教师。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．保证提交的所有信息、数据和材料均真实、准确、合法及有效，不侵犯任何第三方的知识产权和其他权益。无条件配合活动组委会对参赛学生提供的数据、信息、材料及有关情况等进行核实。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．遵守公正、公平原则，不干扰评委工作及其他参赛单位和参赛者等活动。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．不发表、不传播没有根据并对活动产生不利影响的言论。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/>
        <w:ind w:firstLine="4320" w:firstLineChars="135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4320" w:firstLineChars="135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4320" w:firstLineChars="135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学生（签名）：</w:t>
      </w: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日期：2021年 </w:t>
      </w: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日</w:t>
      </w: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640"/>
        <w:jc w:val="right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kern w:val="2"/>
          <w:sz w:val="44"/>
          <w:szCs w:val="44"/>
        </w:rPr>
        <w:t>安徽省大学生版权征文活动指导教师承诺书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黑体" w:eastAsia="方正小标宋简体"/>
          <w:color w:val="auto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本人自愿参加安徽省大学生版权征文活动，为进一步提高廉洁自律意识，客观公正的履行职责，我以指导教师的身份和荣誉郑重作出如下承诺：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．尊重活动组委会及秘书处，尊重专家，尊重其他参赛单位的参赛学生及指导教师，认真指导学生参加安徽省大学生版权征文活动，客观、公正地履行职责。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．遵守道德，遵守活动纪律。活动结束前，不私下接触专家、评委和其他参赛单位的参赛学生及指导教师，不参与以活动名义举办的收费培训。不收受他人的财物或其他好处。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．遵守公正、公平原则，不干预专家和评委等工作。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．不为所带队学生的违纪行为说情、解脱。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．不发表、不传播没有根据并对活动产生不利影响的言论。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．不隐瞒按规定应该回避的事项。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7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>8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．如若发生上述问题，自愿承担相关责任。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/>
        <w:ind w:firstLine="4320" w:firstLineChars="1350"/>
        <w:rPr>
          <w:rFonts w:ascii="仿宋" w:hAnsi="仿宋" w:eastAsia="仿宋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>指导教师（签名）：</w:t>
      </w:r>
    </w:p>
    <w:p>
      <w:pPr>
        <w:pStyle w:val="5"/>
        <w:shd w:val="clear" w:color="auto" w:fill="FFFFFF"/>
        <w:wordWrap w:val="0"/>
        <w:spacing w:before="0" w:beforeAutospacing="0" w:after="0" w:afterAutospacing="0"/>
        <w:ind w:firstLine="4320" w:firstLineChars="1350"/>
        <w:jc w:val="righ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日期：2021年 </w:t>
      </w: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方正仿宋_GBK"/>
          <w:color w:val="auto"/>
          <w:sz w:val="32"/>
          <w:szCs w:val="32"/>
          <w:shd w:val="clear" w:color="auto" w:fill="FFFFFF"/>
        </w:rPr>
        <w:t xml:space="preserve">日    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第二届安徽省大学生版权征文活动评审标准</w:t>
      </w:r>
    </w:p>
    <w:p>
      <w:pPr>
        <w:jc w:val="center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为保证安徽省大学生版权征文活动评审工作的公正性、科学性、权威性，制定本标准。本标准适用于安徽省大学生版权征文活动的各类奖项评审工作。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安徽省大学生版权征文活动坚持公正、公平、公开原则，严格程序、严格标准、严格纪律，以“突出质量、兼顾数量”为准则，做到好中选优，宁缺毋滥。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安徽省大学生版权征文活动将评选一等奖、二等奖、三等奖，优秀指导教师奖以及优秀组织奖。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征文活动评审专家组将由省内外立法、行政、司法部门及高等院校和科研机构的专家学者组成。为保证公正性，论文评审工作将采取双向匿名评审方式。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竞赛组委会、专家委员会、秘书处成员不得作为参赛指导教师，所有专家、评委、组委会及秘书处成员均需签署《承诺书》（见附件2）。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论文奖项评审工作分为四个环节：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（一）形式审查：组委会对所有投稿论文进行形式审查，剔除内容与版权无关、结构不完整、行文不规范、质量不合格的论文。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（二）软件查重：组委会对通过形式审查的论文进行软件查重，根据查重率的高低选取不超过300篇论文进入专家评审。进入专家评审的论文查重率不得高于12%。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（三）专家初评：组委会对通过软件查重的论文进行随机分组，并将各组论文随机分配给两位评审专家进行背靠背式盲审，两位专家盲审的平均分为最终得分，取得分前100名的论文进入下一阶段评审。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（四）专家终评：组委会邀请若干名知识产权领域专家召开终评会，以专家终评结果确定获奖名单。各奖项均从进入专家终评的论文中产生，一、二、三等奖分别不超过参赛论文数的10%、20%、30%。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评审专家从论文主题、论文内容、论文表达和论文创新等四个方面对参赛论文进行评分，根据得分情况确定评审结果。</w:t>
      </w:r>
    </w:p>
    <w:p>
      <w:p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评分标准分为五个等级（百分制）：特优得95分及以上，优秀得85-94分，良好得75-84分，及格得60-74分，不及格得60分以下。具体见下表：</w:t>
      </w:r>
    </w:p>
    <w:tbl>
      <w:tblPr>
        <w:tblStyle w:val="6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4725"/>
        <w:gridCol w:w="1492"/>
      </w:tblGrid>
      <w:tr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评价维度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分类指标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得分</w:t>
            </w:r>
          </w:p>
        </w:tc>
      </w:tr>
      <w:tr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论文主题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主题具有理论价值和实际意义；题目准确、简明，能概括全篇内容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论文内容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论述的问题具有理论上或实践上的针对性；论文论述完整，论证严密，结论严谨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论文表达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语言表达精准、流畅，易于理解；参考文献格式符合规范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论文创新</w:t>
            </w:r>
          </w:p>
        </w:tc>
        <w:tc>
          <w:tcPr>
            <w:tcW w:w="47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提出新见解与新观点；得出新结论与新成果</w:t>
            </w:r>
          </w:p>
        </w:tc>
        <w:tc>
          <w:tcPr>
            <w:tcW w:w="1492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c>
          <w:tcPr>
            <w:tcW w:w="2073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最终得分</w:t>
            </w:r>
          </w:p>
        </w:tc>
        <w:tc>
          <w:tcPr>
            <w:tcW w:w="6217" w:type="dxa"/>
            <w:gridSpan w:val="2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安徽省大学生版权征文活动设置优秀指导教师奖，优秀指导教师奖由一等奖论文的指导教师获得。论文指导教师名单以报名时投至邮箱的信息汇总表为准。</w:t>
      </w:r>
    </w:p>
    <w:p>
      <w:pPr>
        <w:numPr>
          <w:ilvl w:val="0"/>
          <w:numId w:val="1"/>
        </w:numPr>
        <w:shd w:val="clear" w:color="auto" w:fill="FFFFFF"/>
        <w:ind w:firstLine="672" w:firstLineChars="200"/>
        <w:rPr>
          <w:rFonts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安徽省大学生版权征文活动设置优秀组织奖，评审优秀组织奖从“参赛人数、进入专家评审人数、获奖人数、组织情况”四方面进行评分，根据得分情况确定评审结果，获奖数不超过参赛单位数的20%。评审标准具体见下表：</w:t>
      </w:r>
    </w:p>
    <w:tbl>
      <w:tblPr>
        <w:tblStyle w:val="6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736"/>
        <w:gridCol w:w="1078"/>
        <w:gridCol w:w="3399"/>
      </w:tblGrid>
      <w:tr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评价指标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权重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积分</w:t>
            </w:r>
          </w:p>
        </w:tc>
      </w:tr>
      <w:tr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参赛人数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进入专家评审人数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获奖人数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一等奖：10分/人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二等奖：6分/人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三等奖：2分/人</w:t>
            </w:r>
          </w:p>
        </w:tc>
      </w:tr>
      <w:tr>
        <w:tc>
          <w:tcPr>
            <w:tcW w:w="1077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736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组织情况</w:t>
            </w:r>
          </w:p>
        </w:tc>
        <w:tc>
          <w:tcPr>
            <w:tcW w:w="1078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20%</w:t>
            </w:r>
          </w:p>
        </w:tc>
        <w:tc>
          <w:tcPr>
            <w:tcW w:w="3399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根据其是否有正式发文、是否有指导、是否有初步评审等情况进行打分。</w:t>
            </w:r>
          </w:p>
        </w:tc>
      </w:tr>
    </w:tbl>
    <w:p>
      <w:pPr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644" w:bottom="1758" w:left="1758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9FFBB"/>
    <w:multiLevelType w:val="singleLevel"/>
    <w:tmpl w:val="7F39FFBB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18"/>
    <w:rsid w:val="00023FDA"/>
    <w:rsid w:val="00095D7A"/>
    <w:rsid w:val="000A3824"/>
    <w:rsid w:val="000E631A"/>
    <w:rsid w:val="00111388"/>
    <w:rsid w:val="00163900"/>
    <w:rsid w:val="00170752"/>
    <w:rsid w:val="001919A5"/>
    <w:rsid w:val="001A0BD8"/>
    <w:rsid w:val="001E31AC"/>
    <w:rsid w:val="0026574D"/>
    <w:rsid w:val="00267372"/>
    <w:rsid w:val="00271AE6"/>
    <w:rsid w:val="00291405"/>
    <w:rsid w:val="002C32B6"/>
    <w:rsid w:val="00363A7D"/>
    <w:rsid w:val="003645A5"/>
    <w:rsid w:val="003F222D"/>
    <w:rsid w:val="003F7D02"/>
    <w:rsid w:val="004255F0"/>
    <w:rsid w:val="004355A2"/>
    <w:rsid w:val="00445A13"/>
    <w:rsid w:val="004720F3"/>
    <w:rsid w:val="004A3DCF"/>
    <w:rsid w:val="004D3F50"/>
    <w:rsid w:val="004D7C3C"/>
    <w:rsid w:val="00501B71"/>
    <w:rsid w:val="00526470"/>
    <w:rsid w:val="005275C3"/>
    <w:rsid w:val="005374F7"/>
    <w:rsid w:val="005F438F"/>
    <w:rsid w:val="005F61E8"/>
    <w:rsid w:val="0063097E"/>
    <w:rsid w:val="0063457D"/>
    <w:rsid w:val="0064352A"/>
    <w:rsid w:val="006641BA"/>
    <w:rsid w:val="00667713"/>
    <w:rsid w:val="0068138D"/>
    <w:rsid w:val="006D25E3"/>
    <w:rsid w:val="006D35F3"/>
    <w:rsid w:val="006F5964"/>
    <w:rsid w:val="00753F88"/>
    <w:rsid w:val="0075751A"/>
    <w:rsid w:val="007B01D7"/>
    <w:rsid w:val="007F5CB0"/>
    <w:rsid w:val="0080199B"/>
    <w:rsid w:val="00814C31"/>
    <w:rsid w:val="008232F2"/>
    <w:rsid w:val="008D466F"/>
    <w:rsid w:val="008F24B2"/>
    <w:rsid w:val="0091316E"/>
    <w:rsid w:val="00954D34"/>
    <w:rsid w:val="00966D3C"/>
    <w:rsid w:val="00991918"/>
    <w:rsid w:val="009A2F8D"/>
    <w:rsid w:val="009B0E06"/>
    <w:rsid w:val="009F42D7"/>
    <w:rsid w:val="00A0005F"/>
    <w:rsid w:val="00A52DB5"/>
    <w:rsid w:val="00AC777D"/>
    <w:rsid w:val="00AF5F61"/>
    <w:rsid w:val="00B01548"/>
    <w:rsid w:val="00B215B9"/>
    <w:rsid w:val="00B553F9"/>
    <w:rsid w:val="00B90457"/>
    <w:rsid w:val="00BB107C"/>
    <w:rsid w:val="00BF64DF"/>
    <w:rsid w:val="00C119FB"/>
    <w:rsid w:val="00C145E7"/>
    <w:rsid w:val="00C3303E"/>
    <w:rsid w:val="00C6663B"/>
    <w:rsid w:val="00CA4A27"/>
    <w:rsid w:val="00CB5415"/>
    <w:rsid w:val="00CC2852"/>
    <w:rsid w:val="00CE5125"/>
    <w:rsid w:val="00D05043"/>
    <w:rsid w:val="00D15867"/>
    <w:rsid w:val="00D2705E"/>
    <w:rsid w:val="00D56470"/>
    <w:rsid w:val="00D64E3F"/>
    <w:rsid w:val="00D948AF"/>
    <w:rsid w:val="00DA4E0F"/>
    <w:rsid w:val="00DB78FA"/>
    <w:rsid w:val="00DD26FA"/>
    <w:rsid w:val="00DE6053"/>
    <w:rsid w:val="00E30A81"/>
    <w:rsid w:val="00E3568F"/>
    <w:rsid w:val="00E753CD"/>
    <w:rsid w:val="00EB7ADA"/>
    <w:rsid w:val="00EE7341"/>
    <w:rsid w:val="00EE7567"/>
    <w:rsid w:val="00F538FA"/>
    <w:rsid w:val="00F559CC"/>
    <w:rsid w:val="00FF4798"/>
    <w:rsid w:val="025C35E5"/>
    <w:rsid w:val="02987C05"/>
    <w:rsid w:val="0503070C"/>
    <w:rsid w:val="0DA82DB8"/>
    <w:rsid w:val="103966F5"/>
    <w:rsid w:val="1190558D"/>
    <w:rsid w:val="133C6897"/>
    <w:rsid w:val="27B95ECD"/>
    <w:rsid w:val="2E9E2919"/>
    <w:rsid w:val="348F4FB0"/>
    <w:rsid w:val="3B20031E"/>
    <w:rsid w:val="3FC554D4"/>
    <w:rsid w:val="42552112"/>
    <w:rsid w:val="441E1EDF"/>
    <w:rsid w:val="44912CA8"/>
    <w:rsid w:val="49051B9B"/>
    <w:rsid w:val="4BDF392C"/>
    <w:rsid w:val="4EA57014"/>
    <w:rsid w:val="516634CF"/>
    <w:rsid w:val="63F202E7"/>
    <w:rsid w:val="654468B2"/>
    <w:rsid w:val="68D22337"/>
    <w:rsid w:val="6D106B93"/>
    <w:rsid w:val="74B62826"/>
    <w:rsid w:val="786D70C3"/>
    <w:rsid w:val="7C2D34E5"/>
    <w:rsid w:val="7EC459E5"/>
    <w:rsid w:val="7FD45FF6"/>
    <w:rsid w:val="DD228D45"/>
    <w:rsid w:val="FFE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color w:val="000066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767</Words>
  <Characters>4373</Characters>
  <Lines>36</Lines>
  <Paragraphs>10</Paragraphs>
  <TotalTime>83</TotalTime>
  <ScaleCrop>false</ScaleCrop>
  <LinksUpToDate>false</LinksUpToDate>
  <CharactersWithSpaces>5130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2021-05-21T02:04:00Z</dcterms:created>
  <dc:creator>huzi</dc:creator>
  <cp:lastModifiedBy>静静</cp:lastModifiedBy>
  <cp:lastPrinted>2021-05-27T08:59:00Z</cp:lastPrinted>
  <dcterms:modified xsi:type="dcterms:W3CDTF">2021-06-01T06:37:45Z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08558C7157EF4B83AFE893F530ADD022</vt:lpwstr>
  </property>
  <property fmtid="{D5CDD505-2E9C-101B-9397-08002B2CF9AE}" pid="4" name="KSOSaveFontToCloudKey">
    <vt:lpwstr>333921024_cloud</vt:lpwstr>
  </property>
</Properties>
</file>